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7146C4D9" w:rsidR="00142312" w:rsidRPr="00040688" w:rsidRDefault="00E1218E" w:rsidP="00040688">
            <w:pPr>
              <w:spacing w:after="0" w:line="240" w:lineRule="auto"/>
              <w:rPr>
                <w:rFonts w:ascii="Arial" w:eastAsia="Times New Roman" w:hAnsi="Arial" w:cs="Arial"/>
                <w:b/>
                <w:bCs/>
                <w:color w:val="000000"/>
              </w:rPr>
            </w:pPr>
            <w:r>
              <w:rPr>
                <w:rFonts w:ascii="Arial" w:eastAsia="Times New Roman" w:hAnsi="Arial" w:cs="Arial"/>
                <w:b/>
                <w:bCs/>
                <w:color w:val="000000"/>
              </w:rPr>
              <w:t>Opening an HSA account – Pershing Only</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040FD037" w:rsidR="00040688" w:rsidRPr="00040688" w:rsidRDefault="00213B47"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6DB37A30" wp14:editId="14F5736C">
                  <wp:extent cx="2065951" cy="668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3CFAFA5C"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E1218E">
              <w:rPr>
                <w:rFonts w:ascii="Arial" w:eastAsia="Times New Roman" w:hAnsi="Arial" w:cs="Arial"/>
                <w:color w:val="000000"/>
              </w:rPr>
              <w:t>Abbey Pilgrim</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35271222" w14:textId="00172253" w:rsidR="00E67E07" w:rsidRPr="00CC5011" w:rsidRDefault="00E01AB4" w:rsidP="00CC5011">
      <w:pPr>
        <w:spacing w:after="0" w:line="240" w:lineRule="auto"/>
        <w:rPr>
          <w:rFonts w:ascii="Arial" w:hAnsi="Arial" w:cs="Arial"/>
          <w:sz w:val="21"/>
          <w:szCs w:val="21"/>
        </w:rPr>
      </w:pPr>
      <w:r>
        <w:rPr>
          <w:rFonts w:ascii="Arial" w:hAnsi="Arial" w:cs="Arial"/>
          <w:sz w:val="21"/>
          <w:szCs w:val="21"/>
        </w:rPr>
        <w:t>Opening an HSA account at Pershing to invest funds.</w:t>
      </w:r>
    </w:p>
    <w:p w14:paraId="1E631278" w14:textId="77777777" w:rsidR="00CC5011" w:rsidRPr="00CC5011" w:rsidRDefault="00CC5011"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4182CEB2" w14:textId="2C70C5B5" w:rsidR="00F74516" w:rsidRDefault="00E1218E" w:rsidP="00F74516">
      <w:pPr>
        <w:spacing w:after="0" w:line="240" w:lineRule="auto"/>
        <w:rPr>
          <w:rFonts w:ascii="Arial" w:hAnsi="Arial" w:cs="Arial"/>
          <w:sz w:val="21"/>
          <w:szCs w:val="21"/>
        </w:rPr>
      </w:pPr>
      <w:r>
        <w:rPr>
          <w:rFonts w:ascii="Arial" w:hAnsi="Arial" w:cs="Arial"/>
          <w:sz w:val="21"/>
          <w:szCs w:val="21"/>
        </w:rPr>
        <w:t>Advisor must be registered with HSA Bank. Contact the Business Relations team at (866) 357-5232.</w:t>
      </w:r>
    </w:p>
    <w:p w14:paraId="2C851D3C" w14:textId="77777777" w:rsidR="00426427" w:rsidRPr="007C5E50" w:rsidRDefault="00E1218E" w:rsidP="00E1218E">
      <w:pPr>
        <w:spacing w:after="0" w:line="240" w:lineRule="auto"/>
        <w:jc w:val="center"/>
        <w:rPr>
          <w:rFonts w:ascii="Arial" w:hAnsi="Arial" w:cs="Arial"/>
          <w:sz w:val="21"/>
          <w:szCs w:val="21"/>
        </w:rPr>
      </w:pPr>
      <w:r w:rsidRPr="007C5E50">
        <w:rPr>
          <w:rFonts w:ascii="Arial" w:hAnsi="Arial" w:cs="Arial"/>
          <w:sz w:val="21"/>
          <w:szCs w:val="21"/>
        </w:rPr>
        <w:t xml:space="preserve">*The advisor will receive an email Welcome Kit from HSA Bank with their Agent Identification Number (AIN) for tracking purposes, a custom website with your tracking information, and a Relationship Guide. </w:t>
      </w:r>
    </w:p>
    <w:p w14:paraId="09E04D73" w14:textId="77777777" w:rsidR="00426427" w:rsidRDefault="00426427" w:rsidP="00E1218E">
      <w:pPr>
        <w:spacing w:after="0" w:line="240" w:lineRule="auto"/>
        <w:jc w:val="center"/>
        <w:rPr>
          <w:sz w:val="20"/>
          <w:szCs w:val="20"/>
        </w:rPr>
      </w:pPr>
    </w:p>
    <w:p w14:paraId="21496909" w14:textId="62191300" w:rsidR="00426427" w:rsidRPr="00E01AB4" w:rsidRDefault="00426427" w:rsidP="00426427">
      <w:pPr>
        <w:spacing w:after="0" w:line="240" w:lineRule="auto"/>
        <w:rPr>
          <w:rFonts w:ascii="Arial" w:hAnsi="Arial" w:cs="Arial"/>
          <w:sz w:val="21"/>
          <w:szCs w:val="21"/>
        </w:rPr>
      </w:pPr>
      <w:r w:rsidRPr="00E01AB4">
        <w:rPr>
          <w:rFonts w:ascii="Arial" w:hAnsi="Arial" w:cs="Arial"/>
          <w:sz w:val="21"/>
          <w:szCs w:val="21"/>
        </w:rPr>
        <w:t>Your client needs to set up their Health Savings Account at HSA bank, then you can go into Client Central and set up the retail brokerage Health Savings Account through Pershing.</w:t>
      </w:r>
    </w:p>
    <w:p w14:paraId="76FACCE6" w14:textId="0E9394F6" w:rsidR="00E01AB4" w:rsidRPr="00E01AB4" w:rsidRDefault="00E01AB4" w:rsidP="00426427">
      <w:pPr>
        <w:spacing w:after="0" w:line="240" w:lineRule="auto"/>
        <w:rPr>
          <w:rFonts w:ascii="Arial" w:hAnsi="Arial" w:cs="Arial"/>
          <w:sz w:val="21"/>
          <w:szCs w:val="21"/>
        </w:rPr>
      </w:pPr>
    </w:p>
    <w:p w14:paraId="4EC64927" w14:textId="1041E608" w:rsidR="00E01AB4" w:rsidRPr="00E01AB4" w:rsidRDefault="00E01AB4" w:rsidP="00426427">
      <w:pPr>
        <w:spacing w:after="0" w:line="240" w:lineRule="auto"/>
        <w:rPr>
          <w:rFonts w:ascii="Arial" w:hAnsi="Arial" w:cs="Arial"/>
          <w:sz w:val="21"/>
          <w:szCs w:val="21"/>
        </w:rPr>
      </w:pPr>
      <w:r w:rsidRPr="00E01AB4">
        <w:rPr>
          <w:rFonts w:ascii="Arial" w:hAnsi="Arial" w:cs="Arial"/>
          <w:sz w:val="21"/>
          <w:szCs w:val="21"/>
        </w:rPr>
        <w:t>HSA’s cannot be managed accounts, and fees cannot be charged; Account fees, such as inactivity fees, statement fees, low balance fees, etc., all still apply to an HSA, just like any other retail brokerage account.</w:t>
      </w:r>
    </w:p>
    <w:p w14:paraId="08D2DF60" w14:textId="1CD00A84" w:rsidR="0061712A" w:rsidRDefault="0061712A" w:rsidP="00426427">
      <w:pPr>
        <w:spacing w:after="0" w:line="240" w:lineRule="auto"/>
        <w:rPr>
          <w:sz w:val="21"/>
          <w:szCs w:val="21"/>
        </w:rPr>
      </w:pPr>
    </w:p>
    <w:p w14:paraId="2B21B4B0" w14:textId="77777777" w:rsidR="00F74516" w:rsidRPr="00F74516" w:rsidRDefault="00F74516" w:rsidP="00F74516">
      <w:pPr>
        <w:spacing w:after="0" w:line="240" w:lineRule="auto"/>
        <w:rPr>
          <w:rFonts w:ascii="Arial" w:hAnsi="Arial" w:cs="Arial"/>
          <w:sz w:val="21"/>
          <w:szCs w:val="21"/>
        </w:rPr>
      </w:pPr>
    </w:p>
    <w:p w14:paraId="2C5D1401" w14:textId="4D89FB84" w:rsidR="00E67E07" w:rsidRPr="0063278D"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36C23BD5" w14:textId="77777777" w:rsidR="00611123" w:rsidRPr="0063278D" w:rsidRDefault="00611123" w:rsidP="00611123">
      <w:pPr>
        <w:pStyle w:val="pf0"/>
        <w:spacing w:before="0" w:beforeAutospacing="0" w:after="0" w:afterAutospacing="0"/>
        <w:rPr>
          <w:rStyle w:val="cf01"/>
          <w:rFonts w:ascii="Arial" w:hAnsi="Arial" w:cs="Arial"/>
          <w:b/>
          <w:bCs/>
          <w:sz w:val="12"/>
          <w:szCs w:val="12"/>
        </w:rPr>
      </w:pPr>
    </w:p>
    <w:p w14:paraId="0DA78974" w14:textId="5CA32C77" w:rsidR="0063278D" w:rsidRPr="007C5E50" w:rsidRDefault="00127411" w:rsidP="00426427">
      <w:pPr>
        <w:pStyle w:val="ListParagraph"/>
        <w:numPr>
          <w:ilvl w:val="0"/>
          <w:numId w:val="35"/>
        </w:numPr>
        <w:spacing w:after="0" w:line="240" w:lineRule="auto"/>
        <w:rPr>
          <w:rFonts w:ascii="Arial" w:hAnsi="Arial" w:cs="Arial"/>
          <w:sz w:val="21"/>
          <w:szCs w:val="21"/>
        </w:rPr>
      </w:pPr>
      <w:r w:rsidRPr="007C5E50">
        <w:rPr>
          <w:rFonts w:ascii="Arial" w:hAnsi="Arial" w:cs="Arial"/>
          <w:sz w:val="21"/>
          <w:szCs w:val="21"/>
        </w:rPr>
        <w:t>Create the Client Record (if one does not already exist) through Client Central</w:t>
      </w:r>
    </w:p>
    <w:p w14:paraId="7AEDBC73" w14:textId="0942FBC9" w:rsidR="00127411" w:rsidRPr="007C5E50" w:rsidRDefault="00127411" w:rsidP="00426427">
      <w:pPr>
        <w:pStyle w:val="ListParagraph"/>
        <w:numPr>
          <w:ilvl w:val="0"/>
          <w:numId w:val="35"/>
        </w:numPr>
        <w:spacing w:after="0" w:line="240" w:lineRule="auto"/>
        <w:rPr>
          <w:rFonts w:ascii="Arial" w:hAnsi="Arial" w:cs="Arial"/>
          <w:sz w:val="21"/>
          <w:szCs w:val="21"/>
        </w:rPr>
      </w:pPr>
      <w:r w:rsidRPr="007C5E50">
        <w:rPr>
          <w:rFonts w:ascii="Arial" w:hAnsi="Arial" w:cs="Arial"/>
          <w:sz w:val="21"/>
          <w:szCs w:val="21"/>
        </w:rPr>
        <w:t>Establish the Account in Client Central</w:t>
      </w:r>
      <w:r w:rsidR="0061712A" w:rsidRPr="007C5E50">
        <w:rPr>
          <w:rFonts w:ascii="Arial" w:hAnsi="Arial" w:cs="Arial"/>
          <w:sz w:val="21"/>
          <w:szCs w:val="21"/>
        </w:rPr>
        <w:t>:</w:t>
      </w:r>
    </w:p>
    <w:p w14:paraId="69C1F4FB" w14:textId="770F69CC" w:rsidR="0061712A" w:rsidRPr="007C5E50" w:rsidRDefault="0061712A" w:rsidP="0061712A">
      <w:pPr>
        <w:pStyle w:val="ListParagraph"/>
        <w:numPr>
          <w:ilvl w:val="1"/>
          <w:numId w:val="35"/>
        </w:numPr>
        <w:spacing w:after="0" w:line="240" w:lineRule="auto"/>
        <w:rPr>
          <w:rFonts w:ascii="Arial" w:hAnsi="Arial" w:cs="Arial"/>
          <w:sz w:val="21"/>
          <w:szCs w:val="21"/>
        </w:rPr>
      </w:pPr>
      <w:r w:rsidRPr="007C5E50">
        <w:rPr>
          <w:rFonts w:ascii="Arial" w:hAnsi="Arial" w:cs="Arial"/>
          <w:sz w:val="21"/>
          <w:szCs w:val="21"/>
        </w:rPr>
        <w:t>Account Type – Individual</w:t>
      </w:r>
    </w:p>
    <w:p w14:paraId="2E2BF11C" w14:textId="0AE8662D" w:rsidR="0061712A" w:rsidRPr="007C5E50" w:rsidRDefault="0061712A" w:rsidP="0061712A">
      <w:pPr>
        <w:pStyle w:val="ListParagraph"/>
        <w:numPr>
          <w:ilvl w:val="1"/>
          <w:numId w:val="35"/>
        </w:numPr>
        <w:spacing w:after="0" w:line="240" w:lineRule="auto"/>
        <w:rPr>
          <w:rFonts w:ascii="Arial" w:hAnsi="Arial" w:cs="Arial"/>
          <w:sz w:val="21"/>
          <w:szCs w:val="21"/>
        </w:rPr>
      </w:pPr>
      <w:r w:rsidRPr="007C5E50">
        <w:rPr>
          <w:rFonts w:ascii="Arial" w:hAnsi="Arial" w:cs="Arial"/>
          <w:sz w:val="21"/>
          <w:szCs w:val="21"/>
        </w:rPr>
        <w:t>Sub-Account Type – Health Savings</w:t>
      </w:r>
    </w:p>
    <w:p w14:paraId="10A47B42" w14:textId="0A37BFC2" w:rsidR="0061712A" w:rsidRPr="007C5E50" w:rsidRDefault="0061712A" w:rsidP="0061712A">
      <w:pPr>
        <w:pStyle w:val="ListParagraph"/>
        <w:numPr>
          <w:ilvl w:val="1"/>
          <w:numId w:val="35"/>
        </w:numPr>
        <w:spacing w:after="0" w:line="240" w:lineRule="auto"/>
        <w:rPr>
          <w:rFonts w:ascii="Arial" w:hAnsi="Arial" w:cs="Arial"/>
          <w:sz w:val="21"/>
          <w:szCs w:val="21"/>
        </w:rPr>
      </w:pPr>
      <w:r w:rsidRPr="007C5E50">
        <w:rPr>
          <w:rFonts w:ascii="Arial" w:hAnsi="Arial" w:cs="Arial"/>
          <w:sz w:val="21"/>
          <w:szCs w:val="21"/>
        </w:rPr>
        <w:t>Clearing Type – Pershing</w:t>
      </w:r>
    </w:p>
    <w:p w14:paraId="44BFB6F0" w14:textId="5796FC4A" w:rsidR="0061712A" w:rsidRPr="007C5E50" w:rsidRDefault="0061712A" w:rsidP="0061712A">
      <w:pPr>
        <w:spacing w:after="0" w:line="240" w:lineRule="auto"/>
        <w:ind w:left="720"/>
        <w:rPr>
          <w:rFonts w:ascii="Arial" w:hAnsi="Arial" w:cs="Arial"/>
          <w:sz w:val="21"/>
          <w:szCs w:val="21"/>
        </w:rPr>
      </w:pPr>
      <w:r w:rsidRPr="007C5E50">
        <w:rPr>
          <w:rFonts w:ascii="Arial" w:hAnsi="Arial" w:cs="Arial"/>
          <w:sz w:val="21"/>
          <w:szCs w:val="21"/>
        </w:rPr>
        <w:t>**</w:t>
      </w:r>
      <w:r w:rsidRPr="007C5E50">
        <w:rPr>
          <w:rStyle w:val="Strong"/>
          <w:rFonts w:ascii="Arial" w:hAnsi="Arial" w:cs="Arial"/>
          <w:sz w:val="21"/>
          <w:szCs w:val="21"/>
        </w:rPr>
        <w:t>Note:</w:t>
      </w:r>
      <w:r w:rsidRPr="007C5E50">
        <w:rPr>
          <w:rFonts w:ascii="Arial" w:hAnsi="Arial" w:cs="Arial"/>
          <w:sz w:val="21"/>
          <w:szCs w:val="21"/>
        </w:rPr>
        <w:t xml:space="preserve"> HSA Bank will receive notification of the retail brokerage account from Pershing and link it to the client's Health Savings Account at HSA Bank.</w:t>
      </w:r>
    </w:p>
    <w:p w14:paraId="304485BC" w14:textId="45F28908" w:rsidR="0061712A" w:rsidRPr="007C5E50" w:rsidRDefault="00E01AB4" w:rsidP="0061712A">
      <w:pPr>
        <w:pStyle w:val="ListParagraph"/>
        <w:numPr>
          <w:ilvl w:val="0"/>
          <w:numId w:val="35"/>
        </w:numPr>
        <w:spacing w:after="0" w:line="240" w:lineRule="auto"/>
        <w:rPr>
          <w:rFonts w:ascii="Arial" w:hAnsi="Arial" w:cs="Arial"/>
          <w:sz w:val="21"/>
          <w:szCs w:val="21"/>
        </w:rPr>
      </w:pPr>
      <w:r w:rsidRPr="007C5E50">
        <w:rPr>
          <w:rFonts w:ascii="Arial" w:hAnsi="Arial" w:cs="Arial"/>
          <w:sz w:val="21"/>
          <w:szCs w:val="21"/>
        </w:rPr>
        <w:t>As long as Pershing account is linked at HSA Bank, the client has the ability to move money between accounts. On the client portal, they can select ‘Do a One Time Transfer or Systematic’ and transfer money into their Pershing account.</w:t>
      </w:r>
    </w:p>
    <w:p w14:paraId="487A2A58" w14:textId="4048B158" w:rsidR="000C036D" w:rsidRPr="007C5E50" w:rsidRDefault="00E01AB4" w:rsidP="000C036D">
      <w:pPr>
        <w:spacing w:after="0" w:line="240" w:lineRule="auto"/>
        <w:ind w:left="720"/>
        <w:rPr>
          <w:rFonts w:ascii="Arial" w:hAnsi="Arial" w:cs="Arial"/>
          <w:sz w:val="21"/>
          <w:szCs w:val="21"/>
        </w:rPr>
      </w:pPr>
      <w:r w:rsidRPr="007C5E50">
        <w:rPr>
          <w:rFonts w:ascii="Arial" w:hAnsi="Arial" w:cs="Arial"/>
          <w:sz w:val="21"/>
          <w:szCs w:val="21"/>
        </w:rPr>
        <w:t>**$1,000 minimum has to be kept at HSA Bank.</w:t>
      </w:r>
    </w:p>
    <w:p w14:paraId="3FC85F93" w14:textId="597638E0" w:rsidR="000C036D" w:rsidRPr="007C5E50" w:rsidRDefault="000C036D" w:rsidP="000C036D">
      <w:pPr>
        <w:pStyle w:val="ListParagraph"/>
        <w:numPr>
          <w:ilvl w:val="0"/>
          <w:numId w:val="35"/>
        </w:numPr>
        <w:spacing w:after="0" w:line="240" w:lineRule="auto"/>
        <w:rPr>
          <w:rFonts w:ascii="Arial" w:hAnsi="Arial" w:cs="Arial"/>
          <w:sz w:val="21"/>
          <w:szCs w:val="21"/>
        </w:rPr>
      </w:pPr>
      <w:r w:rsidRPr="007C5E50">
        <w:rPr>
          <w:rFonts w:ascii="Arial" w:hAnsi="Arial" w:cs="Arial"/>
          <w:sz w:val="21"/>
          <w:szCs w:val="21"/>
        </w:rPr>
        <w:t>If the client wants to withdraw funds, they need to do so through HSA bank directly. There can be no withdrawals from the Pershing account; only movement to and from the HSA Bank account.</w:t>
      </w:r>
    </w:p>
    <w:p w14:paraId="2770BF78" w14:textId="0EB048F1" w:rsidR="002B7B6A" w:rsidRPr="007C5E50" w:rsidRDefault="002B7B6A" w:rsidP="000C036D">
      <w:pPr>
        <w:pStyle w:val="ListParagraph"/>
        <w:numPr>
          <w:ilvl w:val="0"/>
          <w:numId w:val="35"/>
        </w:numPr>
        <w:spacing w:after="0" w:line="240" w:lineRule="auto"/>
        <w:rPr>
          <w:rFonts w:ascii="Arial" w:hAnsi="Arial" w:cs="Arial"/>
          <w:sz w:val="21"/>
          <w:szCs w:val="21"/>
        </w:rPr>
      </w:pPr>
      <w:r w:rsidRPr="007C5E50">
        <w:rPr>
          <w:rFonts w:ascii="Arial" w:hAnsi="Arial" w:cs="Arial"/>
          <w:sz w:val="21"/>
          <w:szCs w:val="21"/>
        </w:rPr>
        <w:t>If you need to transfer an outside HSA into HSA bank, use the form ‘Health Savings Account Direct Transfer Request Form (1 page) and have the client sign it. This can be found on HSA Bank’s website. You will need clients HSA bank account number (they will receive and should notify advisor) and the current HSA account number. You will then submit the form to the current HSA holder.</w:t>
      </w:r>
    </w:p>
    <w:p w14:paraId="201CAC78" w14:textId="07114B5E" w:rsidR="000C036D" w:rsidRPr="007C5E50" w:rsidRDefault="000C036D" w:rsidP="00E01AB4">
      <w:pPr>
        <w:spacing w:after="0" w:line="240" w:lineRule="auto"/>
        <w:ind w:left="720"/>
        <w:rPr>
          <w:rFonts w:ascii="Arial" w:hAnsi="Arial" w:cs="Arial"/>
          <w:sz w:val="21"/>
          <w:szCs w:val="21"/>
        </w:rPr>
      </w:pPr>
    </w:p>
    <w:p w14:paraId="60F88576" w14:textId="77777777" w:rsidR="00E01AB4" w:rsidRDefault="00E01AB4" w:rsidP="0063278D">
      <w:pPr>
        <w:spacing w:after="0" w:line="240" w:lineRule="auto"/>
        <w:rPr>
          <w:rFonts w:ascii="Arial" w:hAnsi="Arial" w:cs="Arial"/>
          <w:b/>
          <w:color w:val="BF8F00" w:themeColor="accent4" w:themeShade="BF"/>
        </w:rPr>
      </w:pPr>
    </w:p>
    <w:p w14:paraId="5D3088C6" w14:textId="34B36362"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65CC0FDC" w14:textId="60894E0D" w:rsidR="00E01AB4" w:rsidRPr="007C5E50" w:rsidRDefault="00E01AB4" w:rsidP="00E01AB4">
      <w:pPr>
        <w:spacing w:after="0" w:line="240" w:lineRule="auto"/>
        <w:rPr>
          <w:rFonts w:ascii="Arial" w:hAnsi="Arial" w:cs="Arial"/>
          <w:sz w:val="21"/>
          <w:szCs w:val="21"/>
        </w:rPr>
      </w:pPr>
      <w:r w:rsidRPr="007C5E50">
        <w:rPr>
          <w:rFonts w:ascii="Arial" w:hAnsi="Arial" w:cs="Arial"/>
          <w:sz w:val="21"/>
          <w:szCs w:val="21"/>
        </w:rPr>
        <w:t xml:space="preserve">HSA Bank account login: </w:t>
      </w:r>
      <w:hyperlink r:id="rId8" w:history="1">
        <w:r w:rsidRPr="007C5E50">
          <w:rPr>
            <w:rStyle w:val="Hyperlink"/>
            <w:rFonts w:ascii="Arial" w:hAnsi="Arial" w:cs="Arial"/>
            <w:sz w:val="21"/>
            <w:szCs w:val="21"/>
          </w:rPr>
          <w:t>https://myaccounts.hsabank.com/login</w:t>
        </w:r>
      </w:hyperlink>
    </w:p>
    <w:p w14:paraId="4D4C4D2B" w14:textId="77777777" w:rsidR="00E01AB4" w:rsidRPr="007C5E50" w:rsidRDefault="00E01AB4" w:rsidP="00E01AB4">
      <w:pPr>
        <w:spacing w:after="0" w:line="240" w:lineRule="auto"/>
        <w:rPr>
          <w:rFonts w:ascii="Arial" w:hAnsi="Arial" w:cs="Arial"/>
          <w:sz w:val="21"/>
          <w:szCs w:val="21"/>
        </w:rPr>
      </w:pPr>
    </w:p>
    <w:p w14:paraId="5727492F" w14:textId="192F7947" w:rsidR="00E01AB4" w:rsidRPr="007C5E50" w:rsidRDefault="00E01AB4" w:rsidP="00E01AB4">
      <w:pPr>
        <w:spacing w:after="0" w:line="240" w:lineRule="auto"/>
        <w:rPr>
          <w:rFonts w:ascii="Arial" w:hAnsi="Arial" w:cs="Arial"/>
          <w:sz w:val="21"/>
          <w:szCs w:val="21"/>
        </w:rPr>
      </w:pPr>
      <w:r w:rsidRPr="007C5E50">
        <w:rPr>
          <w:rFonts w:ascii="Arial" w:hAnsi="Arial" w:cs="Arial"/>
          <w:sz w:val="21"/>
          <w:szCs w:val="21"/>
        </w:rPr>
        <w:t xml:space="preserve">The HSA Bank custom website for clients and advisor to use is </w:t>
      </w:r>
      <w:hyperlink r:id="rId9" w:tgtFrame="_blank" w:history="1">
        <w:r w:rsidRPr="007C5E50">
          <w:rPr>
            <w:rFonts w:ascii="Arial" w:hAnsi="Arial" w:cs="Arial"/>
            <w:color w:val="0000FF"/>
            <w:sz w:val="21"/>
            <w:szCs w:val="21"/>
            <w:u w:val="single"/>
          </w:rPr>
          <w:t>www.hsabank.com/brokerage</w:t>
        </w:r>
      </w:hyperlink>
      <w:r w:rsidRPr="007C5E50">
        <w:rPr>
          <w:rFonts w:ascii="Arial" w:hAnsi="Arial" w:cs="Arial"/>
          <w:sz w:val="21"/>
          <w:szCs w:val="21"/>
        </w:rPr>
        <w:t>. Use their custom online enrollment link or custom HSA application.</w:t>
      </w:r>
    </w:p>
    <w:p w14:paraId="5A558CEE" w14:textId="77777777" w:rsidR="00CC5011" w:rsidRPr="00CC5011" w:rsidRDefault="00CC5011" w:rsidP="00CC5011">
      <w:pPr>
        <w:spacing w:after="0" w:line="240" w:lineRule="auto"/>
        <w:rPr>
          <w:rFonts w:ascii="Arial" w:hAnsi="Arial" w:cs="Arial"/>
          <w:sz w:val="21"/>
          <w:szCs w:val="21"/>
        </w:rPr>
      </w:pPr>
    </w:p>
    <w:p w14:paraId="622C2446" w14:textId="498E0FB6"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45580F3A" w:rsidR="00040688" w:rsidRPr="00914115" w:rsidRDefault="00E01AB4" w:rsidP="00CC5011">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Abbey Pilgrim</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35C5DBAA" w14:textId="64181011" w:rsidR="00193F9A" w:rsidRDefault="00193F9A" w:rsidP="00B17F32">
      <w:pPr>
        <w:tabs>
          <w:tab w:val="left" w:pos="1206"/>
        </w:tabs>
        <w:rPr>
          <w:rFonts w:ascii="Arial" w:hAnsi="Arial" w:cs="Arial"/>
        </w:rPr>
      </w:pPr>
    </w:p>
    <w:p w14:paraId="0A2D56C3" w14:textId="4CF098C8" w:rsidR="007C5E50" w:rsidRPr="007C5E50" w:rsidRDefault="00F5555F" w:rsidP="00F5555F">
      <w:pPr>
        <w:tabs>
          <w:tab w:val="left" w:pos="1206"/>
        </w:tabs>
        <w:rPr>
          <w:rFonts w:ascii="Arial" w:hAnsi="Arial" w:cs="Arial"/>
        </w:rPr>
      </w:pPr>
      <w:r>
        <w:rPr>
          <w:rFonts w:ascii="Arial" w:hAnsi="Arial" w:cs="Arial"/>
        </w:rPr>
        <w:tab/>
      </w:r>
    </w:p>
    <w:sectPr w:rsidR="007C5E50" w:rsidRPr="007C5E50" w:rsidSect="002F29A5">
      <w:footerReference w:type="even" r:id="rId10"/>
      <w:footerReference w:type="default" r:id="rId1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1F38526E"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7C5E50">
          <w:rPr>
            <w:rFonts w:ascii="Arial" w:hAnsi="Arial" w:cs="Arial"/>
            <w:sz w:val="18"/>
            <w:szCs w:val="18"/>
          </w:rPr>
          <w:t>Open an HSA Account in Pershing</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2C25195B" w:rsidR="0064215C" w:rsidRPr="00B82DF6" w:rsidRDefault="002F29A5" w:rsidP="001F3289">
    <w:pPr>
      <w:pStyle w:val="Footer"/>
      <w:pBdr>
        <w:top w:val="single" w:sz="12" w:space="1" w:color="auto"/>
      </w:pBd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TITLE   \* MERGEFORMAT </w:instrText>
    </w:r>
    <w:r>
      <w:rPr>
        <w:rFonts w:ascii="Arial" w:hAnsi="Arial" w:cs="Arial"/>
        <w:sz w:val="18"/>
        <w:szCs w:val="18"/>
      </w:rPr>
      <w:fldChar w:fldCharType="separate"/>
    </w:r>
    <w:r w:rsidR="00F5555F">
      <w:rPr>
        <w:rFonts w:ascii="Arial" w:hAnsi="Arial" w:cs="Arial"/>
        <w:sz w:val="18"/>
        <w:szCs w:val="18"/>
      </w:rPr>
      <w:t>Open an HSA Account in Pershing</w:t>
    </w:r>
    <w:r>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86124"/>
    <w:multiLevelType w:val="hybridMultilevel"/>
    <w:tmpl w:val="378A3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5"/>
    <w:lvlOverride w:ilvl="0">
      <w:startOverride w:val="1"/>
    </w:lvlOverride>
  </w:num>
  <w:num w:numId="3" w16cid:durableId="1050225085">
    <w:abstractNumId w:val="5"/>
    <w:lvlOverride w:ilvl="0">
      <w:startOverride w:val="2"/>
    </w:lvlOverride>
  </w:num>
  <w:num w:numId="4" w16cid:durableId="1340430245">
    <w:abstractNumId w:val="5"/>
    <w:lvlOverride w:ilvl="0">
      <w:startOverride w:val="3"/>
    </w:lvlOverride>
  </w:num>
  <w:num w:numId="5" w16cid:durableId="354038597">
    <w:abstractNumId w:val="5"/>
    <w:lvlOverride w:ilvl="0">
      <w:startOverride w:val="4"/>
    </w:lvlOverride>
  </w:num>
  <w:num w:numId="6" w16cid:durableId="1386903911">
    <w:abstractNumId w:val="5"/>
    <w:lvlOverride w:ilvl="0">
      <w:startOverride w:val="5"/>
    </w:lvlOverride>
  </w:num>
  <w:num w:numId="7" w16cid:durableId="572857626">
    <w:abstractNumId w:val="5"/>
    <w:lvlOverride w:ilvl="0">
      <w:startOverride w:val="6"/>
    </w:lvlOverride>
  </w:num>
  <w:num w:numId="8" w16cid:durableId="326521711">
    <w:abstractNumId w:val="5"/>
    <w:lvlOverride w:ilvl="0">
      <w:startOverride w:val="7"/>
    </w:lvlOverride>
  </w:num>
  <w:num w:numId="9" w16cid:durableId="1665015406">
    <w:abstractNumId w:val="13"/>
    <w:lvlOverride w:ilvl="0">
      <w:startOverride w:val="1"/>
    </w:lvlOverride>
  </w:num>
  <w:num w:numId="10" w16cid:durableId="708920597">
    <w:abstractNumId w:val="13"/>
    <w:lvlOverride w:ilvl="0">
      <w:startOverride w:val="2"/>
    </w:lvlOverride>
  </w:num>
  <w:num w:numId="11" w16cid:durableId="355082020">
    <w:abstractNumId w:val="13"/>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4"/>
  </w:num>
  <w:num w:numId="24" w16cid:durableId="834339410">
    <w:abstractNumId w:val="12"/>
  </w:num>
  <w:num w:numId="25" w16cid:durableId="1274022581">
    <w:abstractNumId w:val="7"/>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6"/>
  </w:num>
  <w:num w:numId="35" w16cid:durableId="757991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40688"/>
    <w:rsid w:val="000429F0"/>
    <w:rsid w:val="000478D1"/>
    <w:rsid w:val="000537B8"/>
    <w:rsid w:val="000857C1"/>
    <w:rsid w:val="00090EC9"/>
    <w:rsid w:val="000C036D"/>
    <w:rsid w:val="000C12B5"/>
    <w:rsid w:val="00127411"/>
    <w:rsid w:val="00142312"/>
    <w:rsid w:val="00145A57"/>
    <w:rsid w:val="001569FC"/>
    <w:rsid w:val="00182F97"/>
    <w:rsid w:val="00193F9A"/>
    <w:rsid w:val="001D79B9"/>
    <w:rsid w:val="001F3289"/>
    <w:rsid w:val="00213B47"/>
    <w:rsid w:val="00214AB3"/>
    <w:rsid w:val="00220B3F"/>
    <w:rsid w:val="00230197"/>
    <w:rsid w:val="00233EE8"/>
    <w:rsid w:val="002558EE"/>
    <w:rsid w:val="002A5D6A"/>
    <w:rsid w:val="002B7B6A"/>
    <w:rsid w:val="002C4595"/>
    <w:rsid w:val="002F29A5"/>
    <w:rsid w:val="003557A1"/>
    <w:rsid w:val="003622B2"/>
    <w:rsid w:val="00391892"/>
    <w:rsid w:val="003A4991"/>
    <w:rsid w:val="003C27DB"/>
    <w:rsid w:val="00400AFF"/>
    <w:rsid w:val="00426427"/>
    <w:rsid w:val="004362B5"/>
    <w:rsid w:val="00477F91"/>
    <w:rsid w:val="00495162"/>
    <w:rsid w:val="004A04DB"/>
    <w:rsid w:val="004A295C"/>
    <w:rsid w:val="004C2480"/>
    <w:rsid w:val="004F1845"/>
    <w:rsid w:val="00501D46"/>
    <w:rsid w:val="00594051"/>
    <w:rsid w:val="005C2252"/>
    <w:rsid w:val="005D24CA"/>
    <w:rsid w:val="00611123"/>
    <w:rsid w:val="0061712A"/>
    <w:rsid w:val="0063278D"/>
    <w:rsid w:val="006419C6"/>
    <w:rsid w:val="0064215C"/>
    <w:rsid w:val="0064401E"/>
    <w:rsid w:val="00670C49"/>
    <w:rsid w:val="006A1DE2"/>
    <w:rsid w:val="006E63A5"/>
    <w:rsid w:val="006F6118"/>
    <w:rsid w:val="00703234"/>
    <w:rsid w:val="00713D15"/>
    <w:rsid w:val="0074710C"/>
    <w:rsid w:val="0077742B"/>
    <w:rsid w:val="007C5E50"/>
    <w:rsid w:val="007D7B17"/>
    <w:rsid w:val="007E3371"/>
    <w:rsid w:val="007F1EBF"/>
    <w:rsid w:val="007F25B8"/>
    <w:rsid w:val="008412BB"/>
    <w:rsid w:val="00854758"/>
    <w:rsid w:val="00876BF8"/>
    <w:rsid w:val="00880438"/>
    <w:rsid w:val="00892055"/>
    <w:rsid w:val="008C3E3D"/>
    <w:rsid w:val="008D10E8"/>
    <w:rsid w:val="008F059D"/>
    <w:rsid w:val="00902AB3"/>
    <w:rsid w:val="00913EC5"/>
    <w:rsid w:val="00914115"/>
    <w:rsid w:val="00965088"/>
    <w:rsid w:val="0098172F"/>
    <w:rsid w:val="009A08EC"/>
    <w:rsid w:val="009B1C72"/>
    <w:rsid w:val="009D69CB"/>
    <w:rsid w:val="009E7D86"/>
    <w:rsid w:val="00A233D4"/>
    <w:rsid w:val="00A301A3"/>
    <w:rsid w:val="00A31675"/>
    <w:rsid w:val="00A53688"/>
    <w:rsid w:val="00A8629B"/>
    <w:rsid w:val="00A91228"/>
    <w:rsid w:val="00AB7823"/>
    <w:rsid w:val="00AD19BB"/>
    <w:rsid w:val="00AD30D3"/>
    <w:rsid w:val="00AE7FD1"/>
    <w:rsid w:val="00AF58F3"/>
    <w:rsid w:val="00B04D1F"/>
    <w:rsid w:val="00B17F32"/>
    <w:rsid w:val="00B431EB"/>
    <w:rsid w:val="00B46060"/>
    <w:rsid w:val="00B60D39"/>
    <w:rsid w:val="00B72BF9"/>
    <w:rsid w:val="00B82AC7"/>
    <w:rsid w:val="00B82DF6"/>
    <w:rsid w:val="00B8324D"/>
    <w:rsid w:val="00C00BF8"/>
    <w:rsid w:val="00C20345"/>
    <w:rsid w:val="00C20AB6"/>
    <w:rsid w:val="00C31378"/>
    <w:rsid w:val="00C328D3"/>
    <w:rsid w:val="00C36806"/>
    <w:rsid w:val="00C4154F"/>
    <w:rsid w:val="00C52144"/>
    <w:rsid w:val="00C53E3F"/>
    <w:rsid w:val="00C6202A"/>
    <w:rsid w:val="00C80A64"/>
    <w:rsid w:val="00C82531"/>
    <w:rsid w:val="00C842EA"/>
    <w:rsid w:val="00C865D4"/>
    <w:rsid w:val="00CC5011"/>
    <w:rsid w:val="00CC6FC5"/>
    <w:rsid w:val="00D051AB"/>
    <w:rsid w:val="00D22395"/>
    <w:rsid w:val="00D250AD"/>
    <w:rsid w:val="00D46A29"/>
    <w:rsid w:val="00D5292A"/>
    <w:rsid w:val="00D809AA"/>
    <w:rsid w:val="00DD05AC"/>
    <w:rsid w:val="00DD2C7B"/>
    <w:rsid w:val="00E01AB4"/>
    <w:rsid w:val="00E102C1"/>
    <w:rsid w:val="00E1218E"/>
    <w:rsid w:val="00E22C08"/>
    <w:rsid w:val="00E23393"/>
    <w:rsid w:val="00E34E05"/>
    <w:rsid w:val="00E41934"/>
    <w:rsid w:val="00E65469"/>
    <w:rsid w:val="00E67E07"/>
    <w:rsid w:val="00E726DC"/>
    <w:rsid w:val="00E752B4"/>
    <w:rsid w:val="00E8542E"/>
    <w:rsid w:val="00E932FD"/>
    <w:rsid w:val="00ED2DC7"/>
    <w:rsid w:val="00EE37CC"/>
    <w:rsid w:val="00F123E3"/>
    <w:rsid w:val="00F1550E"/>
    <w:rsid w:val="00F5555F"/>
    <w:rsid w:val="00F64B21"/>
    <w:rsid w:val="00F74516"/>
    <w:rsid w:val="00F94706"/>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 w:type="character" w:styleId="Strong">
    <w:name w:val="Strong"/>
    <w:basedOn w:val="DefaultParagraphFont"/>
    <w:uiPriority w:val="22"/>
    <w:qFormat/>
    <w:rsid w:val="00617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s.hsabank.com/logi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abank.com/brokera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an HSA Account in Pershing</dc:title>
  <dc:subject/>
  <dc:creator>Lorna Hill</dc:creator>
  <cp:keywords/>
  <dc:description/>
  <cp:lastModifiedBy>Adam Katch</cp:lastModifiedBy>
  <cp:revision>10</cp:revision>
  <cp:lastPrinted>2023-01-27T20:30:00Z</cp:lastPrinted>
  <dcterms:created xsi:type="dcterms:W3CDTF">2022-11-16T21:23:00Z</dcterms:created>
  <dcterms:modified xsi:type="dcterms:W3CDTF">2023-03-24T20:42:00Z</dcterms:modified>
</cp:coreProperties>
</file>